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bookmarkStart w:id="0" w:name="_Hlk75943613"/>
      <w:r w:rsidRPr="005C530E">
        <w:rPr>
          <w:rFonts w:ascii="Arial" w:eastAsia="Arial Nova" w:hAnsi="Arial" w:cs="Arial"/>
          <w:b/>
          <w:sz w:val="20"/>
          <w:szCs w:val="20"/>
        </w:rPr>
        <w:t>JUICIO PARA LA PROTECCIÓN DE LOS DERECHOS POLÍTICO-ELECTORALES DE LA CIUDADANÍA.</w:t>
      </w:r>
    </w:p>
    <w:p w14:paraId="037766E3" w14:textId="77777777" w:rsidR="005231B7" w:rsidRPr="005C530E"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p>
    <w:p w14:paraId="1F38FFCF" w14:textId="052F5330" w:rsidR="00965856"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5C530E">
        <w:rPr>
          <w:rFonts w:ascii="Arial" w:hAnsi="Arial" w:cs="Arial"/>
          <w:b/>
          <w:sz w:val="20"/>
          <w:szCs w:val="20"/>
        </w:rPr>
        <w:t xml:space="preserve">EXPEDIENTE: </w:t>
      </w:r>
      <w:r w:rsidRPr="005C530E">
        <w:rPr>
          <w:rFonts w:ascii="Arial" w:hAnsi="Arial" w:cs="Arial"/>
          <w:sz w:val="20"/>
          <w:szCs w:val="20"/>
        </w:rPr>
        <w:t>TEEA-JDC-0</w:t>
      </w:r>
      <w:r w:rsidR="004C3D29" w:rsidRPr="005C530E">
        <w:rPr>
          <w:rFonts w:ascii="Arial" w:hAnsi="Arial" w:cs="Arial"/>
          <w:sz w:val="20"/>
          <w:szCs w:val="20"/>
        </w:rPr>
        <w:t>21</w:t>
      </w:r>
      <w:r w:rsidRPr="005C530E">
        <w:rPr>
          <w:rFonts w:ascii="Arial" w:hAnsi="Arial" w:cs="Arial"/>
          <w:sz w:val="20"/>
          <w:szCs w:val="20"/>
        </w:rPr>
        <w:t>/2024.</w:t>
      </w:r>
    </w:p>
    <w:p w14:paraId="394CA888" w14:textId="77777777" w:rsidR="005231B7" w:rsidRPr="005C530E"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p>
    <w:p w14:paraId="6D2B1122" w14:textId="21C609BF" w:rsidR="00E855D5"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5C530E">
        <w:rPr>
          <w:rFonts w:ascii="Arial" w:hAnsi="Arial" w:cs="Arial"/>
          <w:b/>
          <w:sz w:val="20"/>
          <w:szCs w:val="20"/>
        </w:rPr>
        <w:t>PROMOVENTE:</w:t>
      </w:r>
      <w:r w:rsidRPr="005C530E">
        <w:rPr>
          <w:rFonts w:ascii="Arial" w:hAnsi="Arial" w:cs="Arial"/>
          <w:sz w:val="20"/>
          <w:szCs w:val="20"/>
        </w:rPr>
        <w:t xml:space="preserve"> </w:t>
      </w:r>
      <w:r w:rsidR="00B839B2" w:rsidRPr="005C530E">
        <w:rPr>
          <w:rFonts w:ascii="Arial" w:hAnsi="Arial" w:cs="Arial"/>
          <w:sz w:val="20"/>
          <w:szCs w:val="20"/>
        </w:rPr>
        <w:t>C. ROEL ARTURO GONZÁLEZ MOTA, EN SU CARÁCTER DE CANDIDATO A DIPUTADO LOCAL POR EL PRINCIPIO DE MAYORÍA RELATIVA POR EL DISTRITO LOCAL 2, DEL PARTIDO POLÍTICO MORENA.</w:t>
      </w:r>
    </w:p>
    <w:p w14:paraId="622A0E30" w14:textId="77777777" w:rsidR="005231B7" w:rsidRPr="005C530E"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0"/>
          <w:szCs w:val="20"/>
        </w:rPr>
      </w:pPr>
    </w:p>
    <w:p w14:paraId="5AE16860" w14:textId="508B5668" w:rsidR="00965856"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bCs/>
          <w:sz w:val="20"/>
          <w:szCs w:val="20"/>
        </w:rPr>
      </w:pPr>
      <w:r w:rsidRPr="005C530E">
        <w:rPr>
          <w:rFonts w:ascii="Arial" w:hAnsi="Arial" w:cs="Arial"/>
          <w:b/>
          <w:sz w:val="20"/>
          <w:szCs w:val="20"/>
        </w:rPr>
        <w:t>AUTORIDAD RESPONSABLE:</w:t>
      </w:r>
      <w:r w:rsidRPr="005C530E">
        <w:rPr>
          <w:rFonts w:ascii="Arial" w:hAnsi="Arial" w:cs="Arial"/>
          <w:bCs/>
          <w:sz w:val="20"/>
          <w:szCs w:val="20"/>
        </w:rPr>
        <w:t xml:space="preserve"> CONSEJO GENERAL DEL INSTITUTO ESTATAL ELECTORAL DE AGUASCALIENTES.</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02D8220A" w:rsidR="00F621D9" w:rsidRPr="00C23FD3"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C3D29" w:rsidRPr="004C3D29">
        <w:rPr>
          <w:rFonts w:ascii="Arial" w:eastAsia="Times New Roman" w:hAnsi="Arial" w:cs="Arial"/>
          <w:bCs/>
          <w:sz w:val="23"/>
          <w:szCs w:val="23"/>
          <w:lang w:eastAsia="es-MX"/>
        </w:rPr>
        <w:t xml:space="preserve">con el oficio de aviso de presentación de medio de impugnación, identificado con el número </w:t>
      </w:r>
      <w:r w:rsidR="004C3D29" w:rsidRPr="00F2251A">
        <w:rPr>
          <w:rFonts w:ascii="Arial" w:eastAsia="Times New Roman" w:hAnsi="Arial" w:cs="Arial"/>
          <w:b/>
          <w:sz w:val="23"/>
          <w:szCs w:val="23"/>
          <w:lang w:eastAsia="es-MX"/>
        </w:rPr>
        <w:t>TEEA-OP-0</w:t>
      </w:r>
      <w:r w:rsidR="00F2251A" w:rsidRPr="00F2251A">
        <w:rPr>
          <w:rFonts w:ascii="Arial" w:eastAsia="Times New Roman" w:hAnsi="Arial" w:cs="Arial"/>
          <w:b/>
          <w:sz w:val="23"/>
          <w:szCs w:val="23"/>
          <w:lang w:eastAsia="es-MX"/>
        </w:rPr>
        <w:t>247</w:t>
      </w:r>
      <w:r w:rsidR="004C3D29" w:rsidRPr="00F2251A">
        <w:rPr>
          <w:rFonts w:ascii="Arial" w:eastAsia="Times New Roman" w:hAnsi="Arial" w:cs="Arial"/>
          <w:b/>
          <w:sz w:val="23"/>
          <w:szCs w:val="23"/>
          <w:lang w:eastAsia="es-MX"/>
        </w:rPr>
        <w:t>/2024,</w:t>
      </w:r>
      <w:r w:rsidR="004C3D29" w:rsidRPr="004C3D29">
        <w:rPr>
          <w:rFonts w:ascii="Arial" w:eastAsia="Times New Roman" w:hAnsi="Arial" w:cs="Arial"/>
          <w:bCs/>
          <w:sz w:val="23"/>
          <w:szCs w:val="23"/>
          <w:lang w:eastAsia="es-MX"/>
        </w:rPr>
        <w:t xml:space="preserve"> de fecha </w:t>
      </w:r>
      <w:r w:rsidR="00F2251A">
        <w:rPr>
          <w:rFonts w:ascii="Arial" w:eastAsia="Times New Roman" w:hAnsi="Arial" w:cs="Arial"/>
          <w:bCs/>
          <w:sz w:val="23"/>
          <w:szCs w:val="23"/>
          <w:lang w:eastAsia="es-MX"/>
        </w:rPr>
        <w:t>trece de junio</w:t>
      </w:r>
      <w:r w:rsidR="004C3D29" w:rsidRPr="004C3D29">
        <w:rPr>
          <w:rFonts w:ascii="Arial" w:eastAsia="Times New Roman" w:hAnsi="Arial" w:cs="Arial"/>
          <w:bCs/>
          <w:sz w:val="23"/>
          <w:szCs w:val="23"/>
          <w:lang w:eastAsia="es-MX"/>
        </w:rPr>
        <w:t xml:space="preserve"> del dos mil </w:t>
      </w:r>
      <w:r w:rsidR="0090275B" w:rsidRPr="00757EF5">
        <w:rPr>
          <w:rFonts w:ascii="Arial" w:eastAsia="Times New Roman" w:hAnsi="Arial" w:cs="Arial"/>
          <w:bCs/>
          <w:sz w:val="23"/>
          <w:szCs w:val="23"/>
          <w:lang w:eastAsia="es-MX"/>
        </w:rPr>
        <w:t>veinticuatro</w:t>
      </w:r>
      <w:r w:rsidR="0090275B" w:rsidRPr="00757EF5">
        <w:rPr>
          <w:rStyle w:val="Refdenotaalpie"/>
          <w:rFonts w:ascii="Arial" w:eastAsia="Times New Roman" w:hAnsi="Arial" w:cs="Arial"/>
          <w:bCs/>
          <w:sz w:val="23"/>
          <w:szCs w:val="23"/>
          <w:lang w:eastAsia="es-MX"/>
        </w:rPr>
        <w:footnoteReference w:id="1"/>
      </w:r>
      <w:r w:rsidR="0090275B" w:rsidRPr="00757EF5">
        <w:rPr>
          <w:rFonts w:ascii="Arial" w:eastAsia="Times New Roman" w:hAnsi="Arial" w:cs="Arial"/>
          <w:bCs/>
          <w:sz w:val="23"/>
          <w:szCs w:val="23"/>
          <w:lang w:eastAsia="es-MX"/>
        </w:rPr>
        <w:t xml:space="preserve">; </w:t>
      </w:r>
      <w:r w:rsidR="004C3D29" w:rsidRPr="004C3D29">
        <w:rPr>
          <w:rFonts w:ascii="Arial" w:eastAsia="Times New Roman" w:hAnsi="Arial" w:cs="Arial"/>
          <w:bCs/>
          <w:sz w:val="23"/>
          <w:szCs w:val="23"/>
          <w:lang w:eastAsia="es-MX"/>
        </w:rPr>
        <w:t xml:space="preserve">asimismo, con el oficio </w:t>
      </w:r>
      <w:r w:rsidR="004C3D29" w:rsidRPr="00F2251A">
        <w:rPr>
          <w:rFonts w:ascii="Arial" w:eastAsia="Times New Roman" w:hAnsi="Arial" w:cs="Arial"/>
          <w:b/>
          <w:sz w:val="23"/>
          <w:szCs w:val="23"/>
          <w:lang w:eastAsia="es-MX"/>
        </w:rPr>
        <w:t>TEEA-OP-0</w:t>
      </w:r>
      <w:r w:rsidR="00AD3C5A">
        <w:rPr>
          <w:rFonts w:ascii="Arial" w:eastAsia="Times New Roman" w:hAnsi="Arial" w:cs="Arial"/>
          <w:b/>
          <w:sz w:val="23"/>
          <w:szCs w:val="23"/>
          <w:lang w:eastAsia="es-MX"/>
        </w:rPr>
        <w:t>276</w:t>
      </w:r>
      <w:r w:rsidR="004C3D29" w:rsidRPr="00F2251A">
        <w:rPr>
          <w:rFonts w:ascii="Arial" w:eastAsia="Times New Roman" w:hAnsi="Arial" w:cs="Arial"/>
          <w:b/>
          <w:sz w:val="23"/>
          <w:szCs w:val="23"/>
          <w:lang w:eastAsia="es-MX"/>
        </w:rPr>
        <w:t>/2024</w:t>
      </w:r>
      <w:r w:rsidR="004C3D29" w:rsidRPr="004C3D29">
        <w:rPr>
          <w:rFonts w:ascii="Arial" w:eastAsia="Times New Roman" w:hAnsi="Arial" w:cs="Arial"/>
          <w:bCs/>
          <w:sz w:val="23"/>
          <w:szCs w:val="23"/>
          <w:lang w:eastAsia="es-MX"/>
        </w:rPr>
        <w:t xml:space="preserve">, de fecha </w:t>
      </w:r>
      <w:r w:rsidR="00F2251A">
        <w:rPr>
          <w:rFonts w:ascii="Arial" w:eastAsia="Times New Roman" w:hAnsi="Arial" w:cs="Arial"/>
          <w:bCs/>
          <w:sz w:val="23"/>
          <w:szCs w:val="23"/>
          <w:lang w:eastAsia="es-MX"/>
        </w:rPr>
        <w:t>diecisiete de junio del año en curso</w:t>
      </w:r>
      <w:r w:rsidR="004C3D29" w:rsidRPr="004C3D29">
        <w:rPr>
          <w:rFonts w:ascii="Arial" w:eastAsia="Times New Roman" w:hAnsi="Arial" w:cs="Arial"/>
          <w:bCs/>
          <w:sz w:val="23"/>
          <w:szCs w:val="23"/>
          <w:lang w:eastAsia="es-MX"/>
        </w:rPr>
        <w:t>, ambos emitidos por la persona titular de la Oficialía de Partes de este Tribunal, con la documentación que en ellos se describe.</w:t>
      </w:r>
    </w:p>
    <w:tbl>
      <w:tblPr>
        <w:tblStyle w:val="Tablaconcuadrcula"/>
        <w:tblW w:w="0" w:type="auto"/>
        <w:tblLook w:val="04A0" w:firstRow="1" w:lastRow="0" w:firstColumn="1" w:lastColumn="0" w:noHBand="0" w:noVBand="1"/>
      </w:tblPr>
      <w:tblGrid>
        <w:gridCol w:w="3499"/>
        <w:gridCol w:w="4762"/>
      </w:tblGrid>
      <w:tr w:rsidR="00026873" w:rsidRPr="00C23FD3" w14:paraId="6131756D" w14:textId="77777777" w:rsidTr="0099577B">
        <w:trPr>
          <w:trHeight w:val="192"/>
        </w:trPr>
        <w:tc>
          <w:tcPr>
            <w:tcW w:w="3499"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4762"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99577B" w:rsidRPr="00C23FD3" w14:paraId="43DEE2FB" w14:textId="77777777" w:rsidTr="00480578">
        <w:tc>
          <w:tcPr>
            <w:tcW w:w="3499" w:type="dxa"/>
          </w:tcPr>
          <w:p w14:paraId="4172CA5D" w14:textId="09D44197" w:rsidR="0099577B" w:rsidRPr="00B839B2" w:rsidRDefault="0099577B" w:rsidP="00B839B2">
            <w:pPr>
              <w:spacing w:before="100" w:beforeAutospacing="1" w:after="100" w:afterAutospacing="1" w:line="240" w:lineRule="auto"/>
              <w:jc w:val="both"/>
              <w:rPr>
                <w:rFonts w:ascii="Arial" w:eastAsia="Times New Roman" w:hAnsi="Arial" w:cs="Arial"/>
                <w:sz w:val="20"/>
                <w:szCs w:val="20"/>
                <w:lang w:eastAsia="es-MX"/>
              </w:rPr>
            </w:pPr>
            <w:r w:rsidRPr="00B839B2">
              <w:rPr>
                <w:rFonts w:ascii="Arial" w:hAnsi="Arial" w:cs="Arial"/>
                <w:bCs/>
                <w:sz w:val="20"/>
                <w:szCs w:val="20"/>
              </w:rPr>
              <w:t xml:space="preserve">Juicio para la Protección de los Derechos Político Electorales del Ciudadano, de fecha </w:t>
            </w:r>
            <w:r w:rsidR="00480578" w:rsidRPr="00B839B2">
              <w:rPr>
                <w:rFonts w:ascii="Arial" w:hAnsi="Arial" w:cs="Arial"/>
                <w:bCs/>
                <w:sz w:val="20"/>
                <w:szCs w:val="20"/>
              </w:rPr>
              <w:t>trece</w:t>
            </w:r>
            <w:r w:rsidRPr="00B839B2">
              <w:rPr>
                <w:rFonts w:ascii="Arial" w:hAnsi="Arial" w:cs="Arial"/>
                <w:bCs/>
                <w:sz w:val="20"/>
                <w:szCs w:val="20"/>
              </w:rPr>
              <w:t xml:space="preserve">                                                                                                        de </w:t>
            </w:r>
            <w:r w:rsidR="00480578" w:rsidRPr="00B839B2">
              <w:rPr>
                <w:rFonts w:ascii="Arial" w:hAnsi="Arial" w:cs="Arial"/>
                <w:bCs/>
                <w:sz w:val="20"/>
                <w:szCs w:val="20"/>
              </w:rPr>
              <w:t>junio</w:t>
            </w:r>
            <w:r w:rsidRPr="00B839B2">
              <w:rPr>
                <w:rFonts w:ascii="Arial" w:hAnsi="Arial" w:cs="Arial"/>
                <w:bCs/>
                <w:sz w:val="20"/>
                <w:szCs w:val="20"/>
              </w:rPr>
              <w:t xml:space="preserve"> de dos mil veinticuatro, </w:t>
            </w:r>
            <w:r w:rsidR="00B839B2" w:rsidRPr="00B839B2">
              <w:rPr>
                <w:rFonts w:ascii="Arial" w:hAnsi="Arial" w:cs="Arial"/>
                <w:bCs/>
                <w:sz w:val="20"/>
                <w:szCs w:val="20"/>
              </w:rPr>
              <w:t>signado por el C. Roel Arturo González Mota, en su carácter de candidato a diputado local por el principio de mayoría relativa por el distrito local 2, del partido político Morena,</w:t>
            </w:r>
            <w:r w:rsidR="00480578" w:rsidRPr="00B839B2">
              <w:rPr>
                <w:rFonts w:ascii="Arial" w:hAnsi="Arial" w:cs="Arial"/>
                <w:bCs/>
                <w:sz w:val="20"/>
                <w:szCs w:val="20"/>
              </w:rPr>
              <w:t xml:space="preserve"> </w:t>
            </w:r>
            <w:r w:rsidRPr="00B839B2">
              <w:rPr>
                <w:rFonts w:ascii="Arial" w:hAnsi="Arial" w:cs="Arial"/>
                <w:bCs/>
                <w:sz w:val="20"/>
                <w:szCs w:val="20"/>
              </w:rPr>
              <w:t>y anexo</w:t>
            </w:r>
            <w:r w:rsidR="00B839B2" w:rsidRPr="00B839B2">
              <w:rPr>
                <w:rFonts w:ascii="Arial" w:hAnsi="Arial" w:cs="Arial"/>
                <w:bCs/>
                <w:sz w:val="20"/>
                <w:szCs w:val="20"/>
              </w:rPr>
              <w:t>s</w:t>
            </w:r>
            <w:r w:rsidRPr="00B839B2">
              <w:rPr>
                <w:rFonts w:ascii="Arial" w:hAnsi="Arial" w:cs="Arial"/>
                <w:bCs/>
                <w:sz w:val="20"/>
                <w:szCs w:val="20"/>
              </w:rPr>
              <w:t>.</w:t>
            </w:r>
          </w:p>
        </w:tc>
        <w:tc>
          <w:tcPr>
            <w:tcW w:w="4762" w:type="dxa"/>
          </w:tcPr>
          <w:p w14:paraId="6BCA1D9C" w14:textId="17207D0D" w:rsidR="0099577B" w:rsidRPr="00B839B2" w:rsidRDefault="00B839B2" w:rsidP="0099577B">
            <w:pPr>
              <w:spacing w:before="100" w:beforeAutospacing="1" w:after="100" w:afterAutospacing="1" w:line="240" w:lineRule="auto"/>
              <w:jc w:val="both"/>
              <w:rPr>
                <w:rFonts w:ascii="Arial" w:eastAsia="Times New Roman" w:hAnsi="Arial" w:cs="Arial"/>
                <w:bCs/>
                <w:sz w:val="20"/>
                <w:szCs w:val="20"/>
                <w:lang w:eastAsia="es-MX"/>
              </w:rPr>
            </w:pPr>
            <w:r w:rsidRPr="00B839B2">
              <w:rPr>
                <w:rFonts w:ascii="Arial" w:hAnsi="Arial" w:cs="Arial"/>
                <w:bCs/>
                <w:sz w:val="20"/>
                <w:szCs w:val="20"/>
              </w:rPr>
              <w:t>"ACUERDO DEL CONSEJO GENERAL DEL INSTITUTO ESTATAL ELECTORAL, MEDIANTE EL CUAL SE ASIGNAN LAS DIPUTACIONES POR EL PRINCIPIO DE REPRESENTACIÓN PROPORCIONAL, EN EL PROCESO ELECTORAL CONCURRENTE 2023-2024 EN AGUASCALIENTES", identificado con la clave CG-A-70/24.</w:t>
            </w:r>
          </w:p>
        </w:tc>
      </w:tr>
    </w:tbl>
    <w:p w14:paraId="02980CC2" w14:textId="5D585D00"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w:t>
      </w:r>
      <w:r w:rsidR="00EC4E9B">
        <w:rPr>
          <w:rFonts w:ascii="Arial" w:hAnsi="Arial" w:cs="Arial"/>
          <w:b/>
          <w:bCs/>
          <w:sz w:val="23"/>
          <w:szCs w:val="23"/>
        </w:rPr>
        <w:t xml:space="preserve">a </w:t>
      </w:r>
      <w:r w:rsidR="00F2251A">
        <w:rPr>
          <w:rFonts w:ascii="Arial" w:hAnsi="Arial" w:cs="Arial"/>
          <w:b/>
          <w:bCs/>
          <w:sz w:val="23"/>
          <w:szCs w:val="23"/>
        </w:rPr>
        <w:t>diecisiete</w:t>
      </w:r>
      <w:r w:rsidR="00F70278" w:rsidRPr="00C23FD3">
        <w:rPr>
          <w:rFonts w:ascii="Arial" w:hAnsi="Arial" w:cs="Arial"/>
          <w:b/>
          <w:bCs/>
          <w:sz w:val="23"/>
          <w:szCs w:val="23"/>
        </w:rPr>
        <w:t xml:space="preserve"> </w:t>
      </w:r>
      <w:r w:rsidR="008776BD" w:rsidRPr="00C23FD3">
        <w:rPr>
          <w:rFonts w:ascii="Arial" w:hAnsi="Arial" w:cs="Arial"/>
          <w:b/>
          <w:bCs/>
          <w:sz w:val="23"/>
          <w:szCs w:val="23"/>
        </w:rPr>
        <w:t xml:space="preserve">de </w:t>
      </w:r>
      <w:r w:rsidR="00314352">
        <w:rPr>
          <w:rFonts w:ascii="Arial" w:hAnsi="Arial" w:cs="Arial"/>
          <w:b/>
          <w:bCs/>
          <w:sz w:val="23"/>
          <w:szCs w:val="23"/>
        </w:rPr>
        <w:t xml:space="preserve">junio </w:t>
      </w:r>
      <w:r w:rsidR="008776BD" w:rsidRPr="00C23FD3">
        <w:rPr>
          <w:rFonts w:ascii="Arial" w:hAnsi="Arial" w:cs="Arial"/>
          <w:b/>
          <w:bCs/>
          <w:sz w:val="23"/>
          <w:szCs w:val="23"/>
        </w:rPr>
        <w:t>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49C340AF" w:rsidR="00F621D9" w:rsidRPr="00C23FD3" w:rsidRDefault="00026873" w:rsidP="00906625">
      <w:pPr>
        <w:spacing w:before="100" w:beforeAutospacing="1" w:after="100" w:afterAutospacing="1" w:line="360" w:lineRule="auto"/>
        <w:jc w:val="both"/>
        <w:rPr>
          <w:rFonts w:ascii="Arial" w:eastAsia="Times New Roman" w:hAnsi="Arial" w:cs="Arial"/>
          <w:b/>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4C3D29">
        <w:rPr>
          <w:rFonts w:ascii="Arial" w:eastAsia="Times New Roman" w:hAnsi="Arial" w:cs="Arial"/>
          <w:b/>
          <w:bCs/>
          <w:sz w:val="23"/>
          <w:szCs w:val="23"/>
          <w:lang w:eastAsia="es-MX"/>
        </w:rPr>
        <w:t>21</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2"/>
      </w:r>
    </w:p>
    <w:p w14:paraId="0FD39493" w14:textId="1C577A99" w:rsidR="0094032C" w:rsidRPr="00C23FD3" w:rsidRDefault="00EF6624" w:rsidP="0094032C">
      <w:pPr>
        <w:spacing w:before="100" w:beforeAutospacing="1" w:after="100" w:afterAutospacing="1" w:line="360" w:lineRule="auto"/>
        <w:jc w:val="both"/>
        <w:rPr>
          <w:rFonts w:ascii="Arial" w:eastAsia="Times New Roman" w:hAnsi="Arial" w:cs="Arial"/>
          <w:sz w:val="23"/>
          <w:szCs w:val="23"/>
          <w:lang w:eastAsia="es-MX"/>
        </w:rPr>
      </w:pPr>
      <w:r w:rsidRPr="00C23FD3">
        <w:rPr>
          <w:rFonts w:ascii="Arial" w:eastAsia="Times New Roman" w:hAnsi="Arial" w:cs="Arial"/>
          <w:b/>
          <w:bCs/>
          <w:sz w:val="23"/>
          <w:szCs w:val="23"/>
          <w:lang w:eastAsia="es-MX"/>
        </w:rPr>
        <w:t>SEGUNDO</w:t>
      </w:r>
      <w:r w:rsidR="009C6F60" w:rsidRPr="00C23FD3">
        <w:rPr>
          <w:rFonts w:ascii="Arial" w:eastAsia="Times New Roman" w:hAnsi="Arial" w:cs="Arial"/>
          <w:b/>
          <w:bCs/>
          <w:sz w:val="23"/>
          <w:szCs w:val="23"/>
          <w:lang w:eastAsia="es-MX"/>
        </w:rPr>
        <w:t>.</w:t>
      </w:r>
      <w:r w:rsidR="009C6F60" w:rsidRPr="00C23FD3">
        <w:rPr>
          <w:rFonts w:ascii="Arial" w:eastAsia="Times New Roman" w:hAnsi="Arial" w:cs="Arial"/>
          <w:bCs/>
          <w:sz w:val="23"/>
          <w:szCs w:val="23"/>
          <w:lang w:eastAsia="es-MX"/>
        </w:rPr>
        <w:t xml:space="preserve"> </w:t>
      </w:r>
      <w:r w:rsidR="0049280A" w:rsidRPr="00C23FD3">
        <w:rPr>
          <w:rFonts w:ascii="Arial" w:eastAsia="Times New Roman" w:hAnsi="Arial" w:cs="Arial"/>
          <w:b/>
          <w:sz w:val="23"/>
          <w:szCs w:val="23"/>
          <w:lang w:eastAsia="es-MX"/>
        </w:rPr>
        <w:t xml:space="preserve">Turno. </w:t>
      </w:r>
      <w:r w:rsidR="008776BD" w:rsidRPr="00C23FD3">
        <w:rPr>
          <w:rFonts w:ascii="Arial" w:eastAsia="Times New Roman" w:hAnsi="Arial" w:cs="Arial"/>
          <w:bCs/>
          <w:sz w:val="23"/>
          <w:szCs w:val="23"/>
          <w:lang w:eastAsia="es-MX"/>
        </w:rPr>
        <w:t xml:space="preserve">Con fundamento en </w:t>
      </w:r>
      <w:r w:rsidR="00857D18">
        <w:rPr>
          <w:rFonts w:ascii="Arial" w:eastAsia="Times New Roman" w:hAnsi="Arial" w:cs="Arial"/>
          <w:bCs/>
          <w:sz w:val="23"/>
          <w:szCs w:val="23"/>
          <w:lang w:eastAsia="es-MX"/>
        </w:rPr>
        <w:t>los</w:t>
      </w:r>
      <w:r w:rsidR="008776BD" w:rsidRPr="00C23FD3">
        <w:rPr>
          <w:rFonts w:ascii="Arial" w:eastAsia="Times New Roman" w:hAnsi="Arial" w:cs="Arial"/>
          <w:bCs/>
          <w:sz w:val="23"/>
          <w:szCs w:val="23"/>
          <w:lang w:eastAsia="es-MX"/>
        </w:rPr>
        <w:t xml:space="preserve"> artículo</w:t>
      </w:r>
      <w:r w:rsidR="00857D18">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 xml:space="preserve"> </w:t>
      </w:r>
      <w:r w:rsidR="00FB66A2" w:rsidRPr="00C23FD3">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egundo</w:t>
      </w:r>
      <w:r w:rsidR="00857D18">
        <w:rPr>
          <w:rFonts w:ascii="Arial" w:eastAsia="Times New Roman" w:hAnsi="Arial" w:cs="Arial"/>
          <w:bCs/>
          <w:sz w:val="23"/>
          <w:szCs w:val="23"/>
          <w:lang w:eastAsia="es-MX"/>
        </w:rPr>
        <w:t xml:space="preserve"> y Noveno</w:t>
      </w:r>
      <w:r w:rsidR="00FB66A2" w:rsidRPr="00C23FD3">
        <w:rPr>
          <w:rFonts w:ascii="Arial" w:eastAsia="Times New Roman" w:hAnsi="Arial" w:cs="Arial"/>
          <w:bCs/>
          <w:sz w:val="23"/>
          <w:szCs w:val="23"/>
          <w:lang w:eastAsia="es-MX"/>
        </w:rPr>
        <w:t>,</w:t>
      </w:r>
      <w:r w:rsidR="008776BD" w:rsidRPr="00C23FD3">
        <w:rPr>
          <w:rFonts w:ascii="Arial" w:eastAsia="Times New Roman" w:hAnsi="Arial" w:cs="Arial"/>
          <w:bCs/>
          <w:sz w:val="23"/>
          <w:szCs w:val="23"/>
          <w:lang w:eastAsia="es-MX"/>
        </w:rPr>
        <w:t xml:space="preserve"> de los </w:t>
      </w:r>
      <w:r w:rsidR="00FB66A2" w:rsidRPr="00C23FD3">
        <w:rPr>
          <w:rFonts w:ascii="Arial" w:hAnsi="Arial" w:cs="Arial"/>
          <w:bCs/>
          <w:smallCaps/>
          <w:sz w:val="23"/>
          <w:szCs w:val="23"/>
        </w:rPr>
        <w:t>Lineamientos para el Turno Aleatorio</w:t>
      </w:r>
      <w:r w:rsidR="008776BD" w:rsidRPr="00C23FD3">
        <w:rPr>
          <w:rFonts w:ascii="Arial" w:hAnsi="Arial" w:cs="Arial"/>
          <w:bCs/>
          <w:sz w:val="23"/>
          <w:szCs w:val="23"/>
        </w:rPr>
        <w:t xml:space="preserve">, </w:t>
      </w:r>
      <w:r w:rsidR="00FB66A2" w:rsidRPr="00C23FD3">
        <w:rPr>
          <w:rFonts w:ascii="Arial" w:eastAsia="Times New Roman" w:hAnsi="Arial" w:cs="Arial"/>
          <w:bCs/>
          <w:sz w:val="23"/>
          <w:szCs w:val="23"/>
          <w:lang w:eastAsia="es-MX"/>
        </w:rPr>
        <w:t>túrnese los autos a la ponencia de</w:t>
      </w:r>
      <w:r w:rsidR="00E80CE7" w:rsidRPr="00C23FD3">
        <w:rPr>
          <w:rFonts w:ascii="Arial" w:eastAsia="Times New Roman" w:hAnsi="Arial" w:cs="Arial"/>
          <w:bCs/>
          <w:sz w:val="23"/>
          <w:szCs w:val="23"/>
          <w:lang w:eastAsia="es-MX"/>
        </w:rPr>
        <w:t>l</w:t>
      </w:r>
      <w:r w:rsidR="00FB66A2" w:rsidRPr="00C23FD3">
        <w:rPr>
          <w:rFonts w:ascii="Arial" w:eastAsia="Times New Roman" w:hAnsi="Arial" w:cs="Arial"/>
          <w:bCs/>
          <w:sz w:val="23"/>
          <w:szCs w:val="23"/>
          <w:lang w:eastAsia="es-MX"/>
        </w:rPr>
        <w:t xml:space="preserve"> </w:t>
      </w:r>
      <w:r w:rsidR="00FB66A2" w:rsidRPr="00F2251A">
        <w:rPr>
          <w:rFonts w:ascii="Arial" w:eastAsia="Times New Roman" w:hAnsi="Arial" w:cs="Arial"/>
          <w:b/>
          <w:sz w:val="23"/>
          <w:szCs w:val="23"/>
          <w:lang w:eastAsia="es-MX"/>
        </w:rPr>
        <w:t>Magistr</w:t>
      </w:r>
      <w:r w:rsidR="0099577B" w:rsidRPr="00F2251A">
        <w:rPr>
          <w:rFonts w:ascii="Arial" w:eastAsia="Times New Roman" w:hAnsi="Arial" w:cs="Arial"/>
          <w:b/>
          <w:sz w:val="23"/>
          <w:szCs w:val="23"/>
          <w:lang w:eastAsia="es-MX"/>
        </w:rPr>
        <w:t xml:space="preserve">ado en funciones Néstor Enrique </w:t>
      </w:r>
      <w:r w:rsidR="0099577B" w:rsidRPr="0099577B">
        <w:rPr>
          <w:rFonts w:ascii="Arial" w:eastAsia="Times New Roman" w:hAnsi="Arial" w:cs="Arial"/>
          <w:b/>
          <w:sz w:val="23"/>
          <w:szCs w:val="23"/>
          <w:lang w:eastAsia="es-MX"/>
        </w:rPr>
        <w:t>Rivera López</w:t>
      </w:r>
      <w:r w:rsidR="00FB66A2" w:rsidRPr="0099577B">
        <w:rPr>
          <w:rFonts w:ascii="Arial" w:eastAsia="Times New Roman" w:hAnsi="Arial" w:cs="Arial"/>
          <w:bCs/>
          <w:sz w:val="23"/>
          <w:szCs w:val="23"/>
          <w:lang w:eastAsia="es-MX"/>
        </w:rPr>
        <w:t>,</w:t>
      </w:r>
      <w:r w:rsidR="00FB66A2" w:rsidRPr="00C23FD3">
        <w:rPr>
          <w:rFonts w:ascii="Arial" w:eastAsia="Times New Roman" w:hAnsi="Arial" w:cs="Arial"/>
          <w:b/>
          <w:sz w:val="23"/>
          <w:szCs w:val="23"/>
          <w:lang w:eastAsia="es-MX"/>
        </w:rPr>
        <w:t xml:space="preserve"> </w:t>
      </w:r>
      <w:r w:rsidR="0094032C" w:rsidRPr="00C23FD3">
        <w:rPr>
          <w:rFonts w:ascii="Arial" w:eastAsia="Times New Roman" w:hAnsi="Arial" w:cs="Arial"/>
          <w:bCs/>
          <w:sz w:val="23"/>
          <w:szCs w:val="23"/>
          <w:lang w:eastAsia="es-MX"/>
        </w:rPr>
        <w:t xml:space="preserve">para los efectos previstos en los artículos 313, del </w:t>
      </w:r>
      <w:r w:rsidR="0094032C" w:rsidRPr="00C23FD3">
        <w:rPr>
          <w:rFonts w:ascii="Arial" w:hAnsi="Arial" w:cs="Arial"/>
          <w:smallCaps/>
          <w:sz w:val="23"/>
          <w:szCs w:val="23"/>
        </w:rPr>
        <w:t>Código Electoral</w:t>
      </w:r>
      <w:r w:rsidR="0094032C" w:rsidRPr="00C23FD3">
        <w:rPr>
          <w:rFonts w:ascii="Arial" w:eastAsia="Times New Roman" w:hAnsi="Arial" w:cs="Arial"/>
          <w:b/>
          <w:sz w:val="23"/>
          <w:szCs w:val="23"/>
          <w:lang w:eastAsia="es-MX"/>
        </w:rPr>
        <w:t>.</w:t>
      </w:r>
      <w:r w:rsidR="0094032C" w:rsidRPr="00C23FD3">
        <w:rPr>
          <w:rStyle w:val="Refdenotaalpie"/>
          <w:rFonts w:ascii="Arial" w:eastAsia="Times New Roman" w:hAnsi="Arial" w:cs="Arial"/>
          <w:b/>
          <w:sz w:val="23"/>
          <w:szCs w:val="23"/>
          <w:lang w:eastAsia="es-MX"/>
        </w:rPr>
        <w:footnoteReference w:id="3"/>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500126E6"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1"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w:t>
      </w:r>
      <w:proofErr w:type="gramStart"/>
      <w:r w:rsidRPr="00C23FD3">
        <w:rPr>
          <w:rFonts w:ascii="Arial" w:eastAsia="Times New Roman" w:hAnsi="Arial" w:cs="Arial"/>
          <w:bCs/>
          <w:sz w:val="23"/>
          <w:szCs w:val="23"/>
          <w:lang w:eastAsia="es-MX"/>
        </w:rPr>
        <w:t>President</w:t>
      </w:r>
      <w:r w:rsidR="00BC22AF" w:rsidRPr="00C23FD3">
        <w:rPr>
          <w:rFonts w:ascii="Arial" w:eastAsia="Times New Roman" w:hAnsi="Arial" w:cs="Arial"/>
          <w:bCs/>
          <w:sz w:val="23"/>
          <w:szCs w:val="23"/>
          <w:lang w:eastAsia="es-MX"/>
        </w:rPr>
        <w:t>e</w:t>
      </w:r>
      <w:proofErr w:type="gramEnd"/>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F02173" w:rsidRPr="00C23FD3" w14:paraId="2FF2C843" w14:textId="77777777" w:rsidTr="00555801">
        <w:tc>
          <w:tcPr>
            <w:tcW w:w="4116" w:type="dxa"/>
          </w:tcPr>
          <w:p w14:paraId="168D582B" w14:textId="0E864E4D"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Magistrado </w:t>
            </w:r>
            <w:proofErr w:type="gramStart"/>
            <w:r w:rsidRPr="00C23FD3">
              <w:rPr>
                <w:rFonts w:ascii="Arial" w:eastAsia="Times New Roman" w:hAnsi="Arial" w:cs="Arial"/>
                <w:b/>
                <w:bCs/>
                <w:kern w:val="16"/>
                <w:sz w:val="23"/>
                <w:szCs w:val="23"/>
                <w:lang w:eastAsia="es-ES"/>
              </w:rPr>
              <w:t>Presidente</w:t>
            </w:r>
            <w:proofErr w:type="gramEnd"/>
          </w:p>
          <w:p w14:paraId="0C28CF8A" w14:textId="0343EA7C"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B2937" w14:textId="77777777" w:rsidR="00FA77EB" w:rsidRDefault="00FA77EB" w:rsidP="005231B7">
            <w:pPr>
              <w:spacing w:after="0" w:line="240" w:lineRule="auto"/>
              <w:ind w:left="284"/>
              <w:jc w:val="center"/>
              <w:rPr>
                <w:rFonts w:ascii="Arial" w:eastAsia="Times New Roman" w:hAnsi="Arial" w:cs="Arial"/>
                <w:b/>
                <w:bCs/>
                <w:sz w:val="23"/>
                <w:szCs w:val="23"/>
                <w:lang w:eastAsia="es-MX"/>
              </w:rPr>
            </w:pPr>
          </w:p>
          <w:p w14:paraId="277DB7A1"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30905E56"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1ECFD2F3" w14:textId="77777777" w:rsidR="0024134A" w:rsidRPr="00C23FD3" w:rsidRDefault="0024134A"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42A05DEB"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1E11429A"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6E03A0F4"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A7175F5"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1EC514A9"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330D3BB5"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5EDCA7D7"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1"/>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89E91A4" w14:textId="77777777" w:rsidR="0090275B" w:rsidRPr="00285EBF" w:rsidRDefault="0090275B" w:rsidP="0090275B">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2DF056B6" w14:textId="77777777" w:rsidR="0094032C" w:rsidRPr="00275730" w:rsidRDefault="0094032C" w:rsidP="0094032C">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56B3B"/>
    <w:rsid w:val="000750FD"/>
    <w:rsid w:val="000E338A"/>
    <w:rsid w:val="000E5FB7"/>
    <w:rsid w:val="00120579"/>
    <w:rsid w:val="0014758F"/>
    <w:rsid w:val="00154E41"/>
    <w:rsid w:val="00167797"/>
    <w:rsid w:val="00181D63"/>
    <w:rsid w:val="001A0E38"/>
    <w:rsid w:val="001C20C3"/>
    <w:rsid w:val="001E7359"/>
    <w:rsid w:val="0023212C"/>
    <w:rsid w:val="00233D05"/>
    <w:rsid w:val="00233E46"/>
    <w:rsid w:val="0024134A"/>
    <w:rsid w:val="00247309"/>
    <w:rsid w:val="00266CE7"/>
    <w:rsid w:val="00275730"/>
    <w:rsid w:val="002B0459"/>
    <w:rsid w:val="002B46B4"/>
    <w:rsid w:val="002F7BE4"/>
    <w:rsid w:val="00314352"/>
    <w:rsid w:val="0034533C"/>
    <w:rsid w:val="0036072D"/>
    <w:rsid w:val="003E4AAE"/>
    <w:rsid w:val="004318B7"/>
    <w:rsid w:val="004327E0"/>
    <w:rsid w:val="004349E9"/>
    <w:rsid w:val="004403C8"/>
    <w:rsid w:val="004425BB"/>
    <w:rsid w:val="0045764D"/>
    <w:rsid w:val="004722DC"/>
    <w:rsid w:val="00480578"/>
    <w:rsid w:val="00481B69"/>
    <w:rsid w:val="0049280A"/>
    <w:rsid w:val="00493619"/>
    <w:rsid w:val="004C3D29"/>
    <w:rsid w:val="005231B7"/>
    <w:rsid w:val="005357A9"/>
    <w:rsid w:val="005425EC"/>
    <w:rsid w:val="00555801"/>
    <w:rsid w:val="005B48E1"/>
    <w:rsid w:val="005C530E"/>
    <w:rsid w:val="005E39BB"/>
    <w:rsid w:val="006228E8"/>
    <w:rsid w:val="00631E08"/>
    <w:rsid w:val="00632C16"/>
    <w:rsid w:val="00664CFF"/>
    <w:rsid w:val="0069427E"/>
    <w:rsid w:val="006B6603"/>
    <w:rsid w:val="006E4A84"/>
    <w:rsid w:val="00715097"/>
    <w:rsid w:val="0072022B"/>
    <w:rsid w:val="00743571"/>
    <w:rsid w:val="0074637A"/>
    <w:rsid w:val="00762E19"/>
    <w:rsid w:val="007678BE"/>
    <w:rsid w:val="00773F83"/>
    <w:rsid w:val="007974F0"/>
    <w:rsid w:val="007D1747"/>
    <w:rsid w:val="00817557"/>
    <w:rsid w:val="008439DA"/>
    <w:rsid w:val="00857D18"/>
    <w:rsid w:val="008623BA"/>
    <w:rsid w:val="00866475"/>
    <w:rsid w:val="00866C6D"/>
    <w:rsid w:val="0087157B"/>
    <w:rsid w:val="008776BD"/>
    <w:rsid w:val="008D7431"/>
    <w:rsid w:val="0090275B"/>
    <w:rsid w:val="00906625"/>
    <w:rsid w:val="00906AEE"/>
    <w:rsid w:val="0091738F"/>
    <w:rsid w:val="0092149F"/>
    <w:rsid w:val="0094032C"/>
    <w:rsid w:val="00965856"/>
    <w:rsid w:val="00992A84"/>
    <w:rsid w:val="0099577B"/>
    <w:rsid w:val="009C6F60"/>
    <w:rsid w:val="009F6485"/>
    <w:rsid w:val="009F694B"/>
    <w:rsid w:val="00A32ADD"/>
    <w:rsid w:val="00A86147"/>
    <w:rsid w:val="00AD3C5A"/>
    <w:rsid w:val="00B02A9E"/>
    <w:rsid w:val="00B276C3"/>
    <w:rsid w:val="00B620AF"/>
    <w:rsid w:val="00B66D2F"/>
    <w:rsid w:val="00B839B2"/>
    <w:rsid w:val="00B9223C"/>
    <w:rsid w:val="00B970FA"/>
    <w:rsid w:val="00BA546C"/>
    <w:rsid w:val="00BC22AF"/>
    <w:rsid w:val="00BE1140"/>
    <w:rsid w:val="00BF531E"/>
    <w:rsid w:val="00C11776"/>
    <w:rsid w:val="00C23FD3"/>
    <w:rsid w:val="00C461CE"/>
    <w:rsid w:val="00C625CA"/>
    <w:rsid w:val="00C64975"/>
    <w:rsid w:val="00C82E22"/>
    <w:rsid w:val="00C87EDD"/>
    <w:rsid w:val="00C9126D"/>
    <w:rsid w:val="00C95FCB"/>
    <w:rsid w:val="00CA282F"/>
    <w:rsid w:val="00CE1996"/>
    <w:rsid w:val="00D11EAB"/>
    <w:rsid w:val="00D33F9B"/>
    <w:rsid w:val="00DA5E73"/>
    <w:rsid w:val="00DB57FA"/>
    <w:rsid w:val="00DC63EC"/>
    <w:rsid w:val="00DE4527"/>
    <w:rsid w:val="00DF5DE4"/>
    <w:rsid w:val="00E21ECD"/>
    <w:rsid w:val="00E33F2B"/>
    <w:rsid w:val="00E80CE7"/>
    <w:rsid w:val="00E83599"/>
    <w:rsid w:val="00E855D5"/>
    <w:rsid w:val="00E92320"/>
    <w:rsid w:val="00EC2088"/>
    <w:rsid w:val="00EC4E9B"/>
    <w:rsid w:val="00ED0261"/>
    <w:rsid w:val="00EE5917"/>
    <w:rsid w:val="00EF6624"/>
    <w:rsid w:val="00F02173"/>
    <w:rsid w:val="00F2251A"/>
    <w:rsid w:val="00F621D9"/>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Pages>
  <Words>504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123</cp:revision>
  <cp:lastPrinted>2024-06-13T21:49:00Z</cp:lastPrinted>
  <dcterms:created xsi:type="dcterms:W3CDTF">2023-12-27T00:51:00Z</dcterms:created>
  <dcterms:modified xsi:type="dcterms:W3CDTF">2024-06-18T04:13:00Z</dcterms:modified>
</cp:coreProperties>
</file>